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2088424</wp:posOffset>
                </wp:positionH>
                <wp:positionV relativeFrom="paragraph">
                  <wp:posOffset>-654957</wp:posOffset>
                </wp:positionV>
                <wp:extent cx="4207057" cy="1015818"/>
                <wp:effectExtent l="0" t="0" r="22225" b="133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057" cy="10158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3D" w:rsidRDefault="005F4F3D" w:rsidP="005F4F3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Affaire n° 25P015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–</w:t>
                            </w:r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</w:t>
                            </w:r>
                          </w:p>
                          <w:p w:rsidR="005F52EF" w:rsidRDefault="005F4F3D" w:rsidP="005F4F3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>Mission Ordonnancement, Pilotage et Coordination (OPC)</w:t>
                            </w:r>
                          </w:p>
                          <w:p w:rsidR="005F4F3D" w:rsidRPr="005F4F3D" w:rsidRDefault="005F4F3D" w:rsidP="005F4F3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gramStart"/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>dans</w:t>
                            </w:r>
                            <w:proofErr w:type="gramEnd"/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le cadre de la construction</w:t>
                            </w:r>
                          </w:p>
                          <w:p w:rsidR="005F52EF" w:rsidRDefault="005F4F3D" w:rsidP="005F4F3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gramStart"/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>d’un</w:t>
                            </w:r>
                            <w:proofErr w:type="gramEnd"/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bâtiment d’hospitalisation, d’un centre d’hémodialyse</w:t>
                            </w:r>
                          </w:p>
                          <w:p w:rsidR="00EC7A08" w:rsidRDefault="005F4F3D" w:rsidP="005F4F3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F4F3D">
                              <w:rPr>
                                <w:rFonts w:asciiTheme="minorHAnsi" w:hAnsiTheme="minorHAnsi" w:cstheme="minorHAnsi"/>
                                <w:b/>
                              </w:rPr>
                              <w:t>et l’extension-restructuration des urgences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4.45pt;margin-top:-51.55pt;width:331.25pt;height: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">
                <v:textbox>
                  <w:txbxContent>
                    <w:p w:rsidR="005F4F3D" w:rsidRDefault="005F4F3D" w:rsidP="005F4F3D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 xml:space="preserve">Affaire n° 25P015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–</w:t>
                      </w:r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 xml:space="preserve"> </w:t>
                      </w:r>
                    </w:p>
                    <w:p w:rsidR="005F52EF" w:rsidRDefault="005F4F3D" w:rsidP="005F4F3D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>Mission Ordonnancement, Pilotage et Coordination (OPC)</w:t>
                      </w:r>
                    </w:p>
                    <w:p w:rsidR="005F4F3D" w:rsidRPr="005F4F3D" w:rsidRDefault="005F4F3D" w:rsidP="005F4F3D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proofErr w:type="gramStart"/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>dans</w:t>
                      </w:r>
                      <w:proofErr w:type="gramEnd"/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 xml:space="preserve"> le cadre de la construction</w:t>
                      </w:r>
                    </w:p>
                    <w:p w:rsidR="005F52EF" w:rsidRDefault="005F4F3D" w:rsidP="005F4F3D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proofErr w:type="gramStart"/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>d’un</w:t>
                      </w:r>
                      <w:proofErr w:type="gramEnd"/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 xml:space="preserve"> bâtiment d’hospitalisation, d’un centre d’hémodialyse</w:t>
                      </w:r>
                    </w:p>
                    <w:p w:rsidR="00EC7A08" w:rsidRDefault="005F4F3D" w:rsidP="005F4F3D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F4F3D">
                        <w:rPr>
                          <w:rFonts w:asciiTheme="minorHAnsi" w:hAnsiTheme="minorHAnsi" w:cstheme="minorHAnsi"/>
                          <w:b/>
                        </w:rPr>
                        <w:t>et l’extension-restructuration des urgences</w:t>
                      </w:r>
                    </w:p>
                  </w:txbxContent>
                </v:textbox>
              </v:shape>
            </w:pict>
          </mc:Fallback>
        </mc:AlternateContent>
      </w:r>
      <w:r w:rsidR="00D90536">
        <w:rPr>
          <w:rFonts w:cs="Calibri"/>
          <w:b/>
        </w:rPr>
        <w:t>Cellule TERRAH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Pr="008461D2">
        <w:rPr>
          <w:rFonts w:asciiTheme="minorHAnsi" w:hAnsiTheme="minorHAnsi" w:cstheme="minorHAnsi"/>
        </w:rPr>
        <w:t xml:space="preserve"> adopter </w:t>
      </w:r>
      <w:r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>
        <w:rPr>
          <w:rFonts w:asciiTheme="minorHAnsi" w:hAnsiTheme="minorHAnsi" w:cstheme="minorHAnsi"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Pr="008461D2">
        <w:rPr>
          <w:rFonts w:asciiTheme="minorHAnsi" w:hAnsiTheme="minorHAnsi" w:cstheme="minorHAnsi"/>
        </w:rPr>
        <w:t xml:space="preserve">e </w:t>
      </w:r>
      <w:r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>
        <w:rPr>
          <w:rFonts w:asciiTheme="minorHAnsi" w:hAnsiTheme="minorHAnsi" w:cstheme="minorHAnsi"/>
          <w:b/>
          <w:u w:val="single"/>
        </w:rPr>
        <w:t>sera</w:t>
      </w:r>
      <w:r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>
        <w:rPr>
          <w:rFonts w:asciiTheme="minorHAnsi" w:hAnsiTheme="minorHAnsi" w:cstheme="minorHAnsi"/>
          <w:b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Pr="008461D2">
        <w:rPr>
          <w:rFonts w:asciiTheme="minorHAnsi" w:hAnsiTheme="minorHAnsi" w:cstheme="minorHAnsi"/>
          <w:b/>
          <w:u w:val="single"/>
        </w:rPr>
        <w:t xml:space="preserve">qui ne remettent pas en cause directement ou indirectement le cahier des charges </w:t>
      </w:r>
      <w:r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n cas de groupement d’opérateurs économiques,</w:t>
      </w:r>
      <w:r w:rsidRPr="008461D2">
        <w:rPr>
          <w:rFonts w:asciiTheme="minorHAnsi" w:hAnsiTheme="minorHAnsi" w:cstheme="minorHAnsi"/>
        </w:rPr>
        <w:t xml:space="preserve"> il est </w:t>
      </w:r>
      <w:r>
        <w:rPr>
          <w:rFonts w:asciiTheme="minorHAnsi" w:hAnsiTheme="minorHAnsi" w:cstheme="minorHAnsi"/>
        </w:rPr>
        <w:t>exigé</w:t>
      </w:r>
      <w:r w:rsidRPr="008461D2">
        <w:rPr>
          <w:rFonts w:asciiTheme="minorHAnsi" w:hAnsiTheme="minorHAnsi" w:cstheme="minorHAnsi"/>
        </w:rPr>
        <w:t xml:space="preserve"> de rédiger un mémoire technique unique. Dans le cas contraire seul le mémoire du mandataire du</w:t>
      </w:r>
      <w:r>
        <w:rPr>
          <w:rFonts w:asciiTheme="minorHAnsi" w:hAnsiTheme="minorHAnsi" w:cstheme="minorHAnsi"/>
        </w:rPr>
        <w:t xml:space="preserve"> groupement sera pris en compte.</w:t>
      </w: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564F7" w:rsidRPr="00CB471F" w:rsidRDefault="00A953A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 w:rsidRPr="00CB471F">
        <w:rPr>
          <w:rFonts w:cs="Calibri"/>
          <w:b/>
          <w:iCs/>
          <w:noProof/>
          <w:lang w:eastAsia="fr-FR"/>
        </w:rPr>
        <w:t xml:space="preserve">Raison sociale </w:t>
      </w:r>
      <w:r w:rsidR="001564F7" w:rsidRPr="00CB471F">
        <w:rPr>
          <w:rFonts w:cs="Calibri"/>
          <w:b/>
          <w:iCs/>
        </w:rPr>
        <w:t xml:space="preserve">de l’entreprise candidate : </w:t>
      </w:r>
      <w:r w:rsidR="00CB471F" w:rsidRPr="00CB471F">
        <w:rPr>
          <w:rFonts w:cs="Calibri"/>
          <w:b/>
          <w:iCs/>
          <w:highlight w:val="cyan"/>
        </w:rPr>
        <w:t>…………………………</w:t>
      </w:r>
      <w:proofErr w:type="gramStart"/>
      <w:r w:rsidR="00CB471F" w:rsidRPr="00CB471F">
        <w:rPr>
          <w:rFonts w:cs="Calibri"/>
          <w:b/>
          <w:iCs/>
          <w:highlight w:val="cyan"/>
        </w:rPr>
        <w:t>…….</w:t>
      </w:r>
      <w:proofErr w:type="gramEnd"/>
      <w:r w:rsidR="00CB471F" w:rsidRPr="00CB471F">
        <w:rPr>
          <w:rFonts w:cs="Calibri"/>
          <w:b/>
          <w:iCs/>
          <w:highlight w:val="cyan"/>
        </w:rPr>
        <w:t>.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CB471F">
        <w:rPr>
          <w:rFonts w:cs="Calibri"/>
          <w:b/>
          <w:iCs/>
        </w:rPr>
        <w:t>Rédacteur du mémoire technique (nom et fonction dans l’entreprise) :</w:t>
      </w:r>
      <w:r w:rsidRPr="00CB471F">
        <w:rPr>
          <w:rFonts w:cs="Calibri"/>
          <w:b/>
          <w:i/>
          <w:iCs/>
        </w:rPr>
        <w:t xml:space="preserve"> </w:t>
      </w:r>
      <w:r w:rsidR="001564F7" w:rsidRPr="00CB471F">
        <w:rPr>
          <w:rFonts w:cs="Calibri"/>
          <w:b/>
          <w:i/>
          <w:iCs/>
        </w:rPr>
        <w:t xml:space="preserve"> </w:t>
      </w:r>
      <w:r w:rsidR="00CB471F" w:rsidRPr="00CB471F">
        <w:rPr>
          <w:rFonts w:cs="Calibri"/>
          <w:b/>
          <w:iCs/>
          <w:highlight w:val="cyan"/>
        </w:rPr>
        <w:t>………………………………</w:t>
      </w:r>
      <w:r w:rsidR="00CB471F">
        <w:rPr>
          <w:rFonts w:cs="Calibri"/>
          <w:b/>
          <w:iCs/>
          <w:highlight w:val="cyan"/>
        </w:rPr>
        <w:t>…………</w:t>
      </w:r>
    </w:p>
    <w:p w:rsidR="00CB471F" w:rsidRDefault="00CB471F" w:rsidP="00CB471F">
      <w:pPr>
        <w:pBdr>
          <w:bottom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</w:p>
    <w:p w:rsidR="00883CEB" w:rsidRPr="00883CEB" w:rsidRDefault="00883CEB" w:rsidP="00883CEB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  <w:r w:rsidRPr="00CB471F">
        <w:rPr>
          <w:rFonts w:cs="Calibri"/>
          <w:b/>
          <w:bCs/>
          <w:sz w:val="28"/>
          <w:szCs w:val="28"/>
        </w:rPr>
        <w:t>MEMOIRE TECHNIQUE</w:t>
      </w:r>
    </w:p>
    <w:p w:rsidR="00B751E7" w:rsidRPr="008D7050" w:rsidRDefault="005F4F3D" w:rsidP="008D7050">
      <w:pPr>
        <w:pStyle w:val="Titre1"/>
      </w:pPr>
      <w:r>
        <w:t>Compréhension du projet</w:t>
      </w:r>
      <w:r w:rsidR="00D5098F" w:rsidRPr="008D7050">
        <w:t xml:space="preserve"> </w:t>
      </w:r>
    </w:p>
    <w:p w:rsidR="005F4F3D" w:rsidRPr="0065685E" w:rsidRDefault="005F4F3D" w:rsidP="005F4F3D">
      <w:pPr>
        <w:jc w:val="both"/>
      </w:pPr>
      <w:r w:rsidRPr="0065685E">
        <w:t>Il est attendu de la part du candidat</w:t>
      </w:r>
      <w:r>
        <w:t xml:space="preserve"> </w:t>
      </w:r>
      <w:r w:rsidRPr="0065685E">
        <w:t xml:space="preserve">une analyse du dossier </w:t>
      </w:r>
      <w:r>
        <w:t>permettant de déterminer</w:t>
      </w:r>
      <w:r w:rsidRPr="0065685E">
        <w:t xml:space="preserve"> sa bonne</w:t>
      </w:r>
      <w:r>
        <w:t xml:space="preserve"> </w:t>
      </w:r>
      <w:r w:rsidRPr="0065685E">
        <w:t>compréhension du projet. Cette analyse inclura ces remarques sur le projet à ce stade</w:t>
      </w:r>
      <w:r>
        <w:t xml:space="preserve"> ainsi que tout élément qu’il jugera pertinent.</w:t>
      </w: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5F7C89" w:rsidRDefault="005F7C89" w:rsidP="0036465C">
      <w:pPr>
        <w:pStyle w:val="Titre1"/>
        <w:spacing w:before="480" w:line="240" w:lineRule="auto"/>
        <w:ind w:left="431" w:hanging="431"/>
      </w:pPr>
      <w:bookmarkStart w:id="0" w:name="_Toc90981194"/>
      <w:r>
        <w:lastRenderedPageBreak/>
        <w:t xml:space="preserve">Méthodologie </w:t>
      </w:r>
      <w:r w:rsidR="005F4F3D">
        <w:t>pour respecter le planning et les engagements contractuels</w:t>
      </w:r>
      <w:r>
        <w:t> </w:t>
      </w:r>
      <w:r w:rsidRPr="00AC6428">
        <w:t>: </w:t>
      </w:r>
      <w:bookmarkEnd w:id="0"/>
    </w:p>
    <w:p w:rsidR="005F4F3D" w:rsidRDefault="005F4F3D" w:rsidP="005F4F3D">
      <w:r w:rsidRPr="0065685E">
        <w:t>Le candidat d</w:t>
      </w:r>
      <w:r>
        <w:t>é</w:t>
      </w:r>
      <w:r w:rsidRPr="0065685E">
        <w:t xml:space="preserve">taillera la manière dont il compte aborder le projet. Il détaillera </w:t>
      </w:r>
      <w:r>
        <w:t>dans son mémoire technique l’organisation qu’il compte mettre en place pour répondre aux exigences du marché et assurer le bon déroulement de celui-ci. Il détaillera notamment l’organisation humaine/technique pour assurer une continuité de service.</w:t>
      </w:r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Pr="00AC6428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5F4F3D" w:rsidP="008B15C0">
      <w:pPr>
        <w:pStyle w:val="Titre1"/>
        <w:spacing w:before="480" w:line="240" w:lineRule="auto"/>
        <w:ind w:left="431" w:hanging="431"/>
      </w:pPr>
      <w:r>
        <w:t>Moyen humains et matériel</w:t>
      </w:r>
      <w:r w:rsidR="008B15C0">
        <w:t> </w:t>
      </w:r>
      <w:r w:rsidR="008B15C0" w:rsidRPr="00AC6428">
        <w:t>: </w:t>
      </w:r>
    </w:p>
    <w:p w:rsidR="004D522A" w:rsidRPr="00B6007E" w:rsidRDefault="005F4F3D" w:rsidP="004D522A">
      <w:pPr>
        <w:spacing w:before="120"/>
        <w:jc w:val="both"/>
        <w:rPr>
          <w:lang w:eastAsia="fr-FR"/>
        </w:rPr>
      </w:pPr>
      <w:r>
        <w:rPr>
          <w:lang w:eastAsia="fr-FR"/>
        </w:rPr>
        <w:t xml:space="preserve">Le candidat transmet les CV des personnes désigné pour suivre le marché ainsi que les outils mis à </w:t>
      </w:r>
      <w:r w:rsidR="00DE5DAC">
        <w:rPr>
          <w:lang w:eastAsia="fr-FR"/>
        </w:rPr>
        <w:t>leur disposition</w:t>
      </w:r>
      <w:r>
        <w:rPr>
          <w:lang w:eastAsia="fr-FR"/>
        </w:rPr>
        <w:t xml:space="preserve"> pour mener à bien le marché. </w:t>
      </w:r>
      <w:r w:rsidR="00DE5DAC">
        <w:rPr>
          <w:lang w:eastAsia="fr-FR"/>
        </w:rPr>
        <w:t>Les éléments présentés doivent permettre de démontrer la capacité de l’équipe à suivre des travaux en milieux hospitalier et site occupé.</w:t>
      </w:r>
    </w:p>
    <w:p w:rsidR="005F7C89" w:rsidRDefault="005F7C89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rPr>
          <w:rFonts w:asciiTheme="minorHAnsi" w:eastAsia="Cambria" w:hAnsiTheme="minorHAnsi" w:cstheme="minorHAnsi"/>
          <w:b/>
          <w:sz w:val="24"/>
          <w:szCs w:val="24"/>
        </w:rPr>
      </w:pPr>
    </w:p>
    <w:p w:rsidR="00DE5DAC" w:rsidRDefault="00A77587" w:rsidP="00DE5DAC">
      <w:pPr>
        <w:pStyle w:val="Titre1"/>
        <w:spacing w:before="480" w:line="240" w:lineRule="auto"/>
        <w:ind w:left="431" w:hanging="431"/>
      </w:pPr>
      <w:r>
        <w:t>Expériences</w:t>
      </w:r>
      <w:bookmarkStart w:id="1" w:name="_GoBack"/>
      <w:bookmarkEnd w:id="1"/>
      <w:r>
        <w:t xml:space="preserve"> similaires</w:t>
      </w:r>
    </w:p>
    <w:p w:rsidR="00DE5DAC" w:rsidRPr="00B6007E" w:rsidRDefault="00DE5DAC" w:rsidP="00DE5DAC">
      <w:pPr>
        <w:spacing w:before="120"/>
        <w:jc w:val="both"/>
        <w:rPr>
          <w:lang w:eastAsia="fr-FR"/>
        </w:rPr>
      </w:pPr>
      <w:r>
        <w:rPr>
          <w:lang w:eastAsia="fr-FR"/>
        </w:rPr>
        <w:t>Se reporter à l’annexe « Présentation entreprise »</w:t>
      </w: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Style w:val="Titre1"/>
        <w:spacing w:before="480" w:line="240" w:lineRule="auto"/>
        <w:ind w:left="431" w:hanging="431"/>
      </w:pPr>
      <w:r>
        <w:t>Qualité des livrables proposés</w:t>
      </w:r>
    </w:p>
    <w:p w:rsidR="00DE5DAC" w:rsidRDefault="00DE5DAC" w:rsidP="00DE5DAC">
      <w:r>
        <w:t>Le candidat doit transmettre des modèles des livrables répondant aux exigences du CCTP.</w:t>
      </w: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AC6428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Default="00DE5DAC" w:rsidP="00DE5DA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DE5DAC" w:rsidRPr="00DE5DAC" w:rsidRDefault="00DE5DAC" w:rsidP="00DE5DAC">
      <w:pPr>
        <w:rPr>
          <w:rFonts w:asciiTheme="minorHAnsi" w:hAnsiTheme="minorHAnsi" w:cstheme="minorHAnsi"/>
          <w:b/>
          <w:sz w:val="24"/>
          <w:szCs w:val="24"/>
        </w:rPr>
      </w:pPr>
    </w:p>
    <w:p w:rsidR="00DE5DAC" w:rsidRDefault="00DE5DAC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391DF5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391DF5" w:rsidRDefault="00391DF5" w:rsidP="00391DF5">
      <w:pPr>
        <w:spacing w:after="0" w:line="240" w:lineRule="auto"/>
      </w:pPr>
    </w:p>
    <w:p w:rsidR="000F7B5D" w:rsidRDefault="000F7B5D" w:rsidP="004D522A">
      <w:pPr>
        <w:spacing w:after="0" w:line="240" w:lineRule="auto"/>
        <w:rPr>
          <w:rFonts w:cs="Calibri"/>
        </w:rPr>
      </w:pPr>
    </w:p>
    <w:sectPr w:rsidR="000F7B5D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altName w:val="Arial Blac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4257" w:rsidRPr="00354257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4D522A">
      <w:rPr>
        <w:noProof/>
      </w:rPr>
      <w:drawing>
        <wp:inline distT="0" distB="0" distL="0" distR="0">
          <wp:extent cx="997832" cy="4191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HA - Logo202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304" cy="425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D90536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972987" cy="828675"/>
                <wp:effectExtent l="0" t="0" r="8255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HA - Logo2023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5699" cy="8340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6EF"/>
    <w:multiLevelType w:val="hybridMultilevel"/>
    <w:tmpl w:val="484041BC"/>
    <w:lvl w:ilvl="0" w:tplc="1B2CE490">
      <w:start w:val="1"/>
      <w:numFmt w:val="bullet"/>
      <w:pStyle w:val="puces-niv1"/>
      <w:lvlText w:val=""/>
      <w:lvlJc w:val="left"/>
      <w:pPr>
        <w:ind w:left="851" w:hanging="284"/>
      </w:pPr>
      <w:rPr>
        <w:rFonts w:ascii="Wingdings" w:hAnsi="Wingdings" w:hint="default"/>
        <w:color w:val="008D64"/>
      </w:rPr>
    </w:lvl>
    <w:lvl w:ilvl="1" w:tplc="040C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35653"/>
    <w:multiLevelType w:val="multilevel"/>
    <w:tmpl w:val="FDB0F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F1D68"/>
    <w:multiLevelType w:val="hybridMultilevel"/>
    <w:tmpl w:val="B8308F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23326"/>
    <w:multiLevelType w:val="multilevel"/>
    <w:tmpl w:val="FFC0F8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D2468"/>
    <w:multiLevelType w:val="multilevel"/>
    <w:tmpl w:val="B680E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D3FB6"/>
    <w:multiLevelType w:val="multilevel"/>
    <w:tmpl w:val="FDB0FD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4C757D0"/>
    <w:multiLevelType w:val="multilevel"/>
    <w:tmpl w:val="D3144B6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711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C5929F3"/>
    <w:multiLevelType w:val="hybridMultilevel"/>
    <w:tmpl w:val="376CA12E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D3C0A"/>
    <w:multiLevelType w:val="hybridMultilevel"/>
    <w:tmpl w:val="F73C6FBC"/>
    <w:lvl w:ilvl="0" w:tplc="52342946">
      <w:start w:val="1"/>
      <w:numFmt w:val="decimal"/>
      <w:lvlText w:val="1.1.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641F61"/>
    <w:multiLevelType w:val="multilevel"/>
    <w:tmpl w:val="02C82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61CED"/>
    <w:multiLevelType w:val="multilevel"/>
    <w:tmpl w:val="ADAAC6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885645"/>
    <w:multiLevelType w:val="hybridMultilevel"/>
    <w:tmpl w:val="49BAC27A"/>
    <w:lvl w:ilvl="0" w:tplc="3E268644">
      <w:start w:val="1"/>
      <w:numFmt w:val="bullet"/>
      <w:lvlText w:val="-"/>
      <w:lvlJc w:val="left"/>
      <w:pPr>
        <w:ind w:left="689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2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A753F"/>
    <w:multiLevelType w:val="hybridMultilevel"/>
    <w:tmpl w:val="95E6090C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5D115E3"/>
    <w:multiLevelType w:val="multilevel"/>
    <w:tmpl w:val="B216A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6"/>
  </w:num>
  <w:num w:numId="5">
    <w:abstractNumId w:val="12"/>
  </w:num>
  <w:num w:numId="6">
    <w:abstractNumId w:val="4"/>
  </w:num>
  <w:num w:numId="7">
    <w:abstractNumId w:val="25"/>
  </w:num>
  <w:num w:numId="8">
    <w:abstractNumId w:val="28"/>
  </w:num>
  <w:num w:numId="9">
    <w:abstractNumId w:val="17"/>
  </w:num>
  <w:num w:numId="10">
    <w:abstractNumId w:val="24"/>
  </w:num>
  <w:num w:numId="11">
    <w:abstractNumId w:val="11"/>
  </w:num>
  <w:num w:numId="12">
    <w:abstractNumId w:val="3"/>
  </w:num>
  <w:num w:numId="13">
    <w:abstractNumId w:val="1"/>
  </w:num>
  <w:num w:numId="14">
    <w:abstractNumId w:val="18"/>
  </w:num>
  <w:num w:numId="15">
    <w:abstractNumId w:val="15"/>
  </w:num>
  <w:num w:numId="16">
    <w:abstractNumId w:val="6"/>
  </w:num>
  <w:num w:numId="17">
    <w:abstractNumId w:val="9"/>
  </w:num>
  <w:num w:numId="18">
    <w:abstractNumId w:val="26"/>
  </w:num>
  <w:num w:numId="19">
    <w:abstractNumId w:val="20"/>
  </w:num>
  <w:num w:numId="20">
    <w:abstractNumId w:val="5"/>
  </w:num>
  <w:num w:numId="21">
    <w:abstractNumId w:val="27"/>
  </w:num>
  <w:num w:numId="22">
    <w:abstractNumId w:val="22"/>
  </w:num>
  <w:num w:numId="23">
    <w:abstractNumId w:val="23"/>
  </w:num>
  <w:num w:numId="24">
    <w:abstractNumId w:val="14"/>
  </w:num>
  <w:num w:numId="25">
    <w:abstractNumId w:val="14"/>
  </w:num>
  <w:num w:numId="26">
    <w:abstractNumId w:val="14"/>
  </w:num>
  <w:num w:numId="27">
    <w:abstractNumId w:val="14"/>
    <w:lvlOverride w:ilvl="0">
      <w:startOverride w:val="1"/>
    </w:lvlOverride>
  </w:num>
  <w:num w:numId="28">
    <w:abstractNumId w:val="8"/>
  </w:num>
  <w:num w:numId="29">
    <w:abstractNumId w:val="19"/>
  </w:num>
  <w:num w:numId="30">
    <w:abstractNumId w:val="2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0"/>
  </w:num>
  <w:num w:numId="36">
    <w:abstractNumId w:val="13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2BEA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0D047E"/>
    <w:rsid w:val="000F7B5D"/>
    <w:rsid w:val="00103FCB"/>
    <w:rsid w:val="00114DC7"/>
    <w:rsid w:val="00117F0C"/>
    <w:rsid w:val="001224C2"/>
    <w:rsid w:val="0012378F"/>
    <w:rsid w:val="00134C3D"/>
    <w:rsid w:val="001513A6"/>
    <w:rsid w:val="001564F7"/>
    <w:rsid w:val="001863B3"/>
    <w:rsid w:val="00194B13"/>
    <w:rsid w:val="001B38C2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223F9"/>
    <w:rsid w:val="00230A15"/>
    <w:rsid w:val="00251EC2"/>
    <w:rsid w:val="00262DDB"/>
    <w:rsid w:val="00275726"/>
    <w:rsid w:val="00276076"/>
    <w:rsid w:val="00281B03"/>
    <w:rsid w:val="002A3981"/>
    <w:rsid w:val="002B1C52"/>
    <w:rsid w:val="002B6B45"/>
    <w:rsid w:val="002E051B"/>
    <w:rsid w:val="002E72C0"/>
    <w:rsid w:val="0030738E"/>
    <w:rsid w:val="003204DA"/>
    <w:rsid w:val="003245C4"/>
    <w:rsid w:val="00354257"/>
    <w:rsid w:val="00360632"/>
    <w:rsid w:val="0036465C"/>
    <w:rsid w:val="0037536A"/>
    <w:rsid w:val="00390164"/>
    <w:rsid w:val="00391DF5"/>
    <w:rsid w:val="003B0C78"/>
    <w:rsid w:val="003E1654"/>
    <w:rsid w:val="003E3CB9"/>
    <w:rsid w:val="003F0F41"/>
    <w:rsid w:val="003F6A12"/>
    <w:rsid w:val="00403893"/>
    <w:rsid w:val="004168CA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D0FD9"/>
    <w:rsid w:val="004D522A"/>
    <w:rsid w:val="004E2BD3"/>
    <w:rsid w:val="004E3EC2"/>
    <w:rsid w:val="004F005D"/>
    <w:rsid w:val="004F410B"/>
    <w:rsid w:val="00544AA3"/>
    <w:rsid w:val="00546EDF"/>
    <w:rsid w:val="00555B86"/>
    <w:rsid w:val="00587A72"/>
    <w:rsid w:val="005906C3"/>
    <w:rsid w:val="0059082A"/>
    <w:rsid w:val="00592946"/>
    <w:rsid w:val="005977FE"/>
    <w:rsid w:val="005A2639"/>
    <w:rsid w:val="005A45E3"/>
    <w:rsid w:val="005B1E33"/>
    <w:rsid w:val="005D4C3F"/>
    <w:rsid w:val="005F35C2"/>
    <w:rsid w:val="005F4F3D"/>
    <w:rsid w:val="005F52EF"/>
    <w:rsid w:val="005F7C89"/>
    <w:rsid w:val="00603E98"/>
    <w:rsid w:val="00626096"/>
    <w:rsid w:val="00632F9F"/>
    <w:rsid w:val="0063495E"/>
    <w:rsid w:val="006410AC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44F09"/>
    <w:rsid w:val="00756013"/>
    <w:rsid w:val="00762E58"/>
    <w:rsid w:val="00775ECB"/>
    <w:rsid w:val="00784B07"/>
    <w:rsid w:val="00795C85"/>
    <w:rsid w:val="007B588D"/>
    <w:rsid w:val="007C0DD7"/>
    <w:rsid w:val="007C643B"/>
    <w:rsid w:val="007E5C2E"/>
    <w:rsid w:val="00802B88"/>
    <w:rsid w:val="00811E5F"/>
    <w:rsid w:val="00815C0A"/>
    <w:rsid w:val="00820919"/>
    <w:rsid w:val="00823A45"/>
    <w:rsid w:val="008522F4"/>
    <w:rsid w:val="008673B0"/>
    <w:rsid w:val="00870BE4"/>
    <w:rsid w:val="00883CEB"/>
    <w:rsid w:val="008871FC"/>
    <w:rsid w:val="008925F8"/>
    <w:rsid w:val="008A4D5E"/>
    <w:rsid w:val="008A77D5"/>
    <w:rsid w:val="008B15C0"/>
    <w:rsid w:val="008B3B27"/>
    <w:rsid w:val="008C1C5C"/>
    <w:rsid w:val="008D7050"/>
    <w:rsid w:val="008F6831"/>
    <w:rsid w:val="00925DE8"/>
    <w:rsid w:val="0094637E"/>
    <w:rsid w:val="00980D95"/>
    <w:rsid w:val="00981DBD"/>
    <w:rsid w:val="0098504C"/>
    <w:rsid w:val="00997B31"/>
    <w:rsid w:val="009B4099"/>
    <w:rsid w:val="009C2AB5"/>
    <w:rsid w:val="009D75D3"/>
    <w:rsid w:val="009F13DC"/>
    <w:rsid w:val="00A17A18"/>
    <w:rsid w:val="00A405CB"/>
    <w:rsid w:val="00A52867"/>
    <w:rsid w:val="00A566D3"/>
    <w:rsid w:val="00A65296"/>
    <w:rsid w:val="00A6778D"/>
    <w:rsid w:val="00A7458B"/>
    <w:rsid w:val="00A77587"/>
    <w:rsid w:val="00A84A89"/>
    <w:rsid w:val="00A86098"/>
    <w:rsid w:val="00A953A6"/>
    <w:rsid w:val="00AA542E"/>
    <w:rsid w:val="00AA64F6"/>
    <w:rsid w:val="00B2104D"/>
    <w:rsid w:val="00B253EA"/>
    <w:rsid w:val="00B35026"/>
    <w:rsid w:val="00B37409"/>
    <w:rsid w:val="00B4231A"/>
    <w:rsid w:val="00B6007E"/>
    <w:rsid w:val="00B62418"/>
    <w:rsid w:val="00B751E7"/>
    <w:rsid w:val="00B7670A"/>
    <w:rsid w:val="00B94FEC"/>
    <w:rsid w:val="00BA0D58"/>
    <w:rsid w:val="00BB139B"/>
    <w:rsid w:val="00BC35DA"/>
    <w:rsid w:val="00BD259E"/>
    <w:rsid w:val="00BF064F"/>
    <w:rsid w:val="00C048B7"/>
    <w:rsid w:val="00C123DE"/>
    <w:rsid w:val="00C25205"/>
    <w:rsid w:val="00C325DD"/>
    <w:rsid w:val="00C432C3"/>
    <w:rsid w:val="00C51046"/>
    <w:rsid w:val="00C56731"/>
    <w:rsid w:val="00C567BC"/>
    <w:rsid w:val="00C91DAE"/>
    <w:rsid w:val="00C930CD"/>
    <w:rsid w:val="00C93A11"/>
    <w:rsid w:val="00C94A96"/>
    <w:rsid w:val="00CA5769"/>
    <w:rsid w:val="00CA62F8"/>
    <w:rsid w:val="00CA7D83"/>
    <w:rsid w:val="00CB471F"/>
    <w:rsid w:val="00CC1654"/>
    <w:rsid w:val="00CD2E3E"/>
    <w:rsid w:val="00CE422A"/>
    <w:rsid w:val="00CE5448"/>
    <w:rsid w:val="00CF760A"/>
    <w:rsid w:val="00D01B67"/>
    <w:rsid w:val="00D118CC"/>
    <w:rsid w:val="00D24DB5"/>
    <w:rsid w:val="00D25EDC"/>
    <w:rsid w:val="00D2668F"/>
    <w:rsid w:val="00D37EDC"/>
    <w:rsid w:val="00D413B6"/>
    <w:rsid w:val="00D4750C"/>
    <w:rsid w:val="00D5098F"/>
    <w:rsid w:val="00D8057C"/>
    <w:rsid w:val="00D90536"/>
    <w:rsid w:val="00DA35BC"/>
    <w:rsid w:val="00DB10FD"/>
    <w:rsid w:val="00DB66C4"/>
    <w:rsid w:val="00DE5DAC"/>
    <w:rsid w:val="00DF3F77"/>
    <w:rsid w:val="00DF410D"/>
    <w:rsid w:val="00E0287C"/>
    <w:rsid w:val="00E14C43"/>
    <w:rsid w:val="00E221F3"/>
    <w:rsid w:val="00E41295"/>
    <w:rsid w:val="00E431D4"/>
    <w:rsid w:val="00E8094F"/>
    <w:rsid w:val="00E87FE7"/>
    <w:rsid w:val="00E949B3"/>
    <w:rsid w:val="00EC211E"/>
    <w:rsid w:val="00EC7A08"/>
    <w:rsid w:val="00ED1232"/>
    <w:rsid w:val="00ED35BF"/>
    <w:rsid w:val="00EE4851"/>
    <w:rsid w:val="00F40205"/>
    <w:rsid w:val="00F424B6"/>
    <w:rsid w:val="00F43F6C"/>
    <w:rsid w:val="00F847C9"/>
    <w:rsid w:val="00FA1418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4F34BD9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D7050"/>
    <w:pPr>
      <w:numPr>
        <w:numId w:val="24"/>
      </w:numPr>
      <w:shd w:val="clear" w:color="auto" w:fill="E8F5EB" w:themeFill="accent5" w:themeFillTint="33"/>
      <w:jc w:val="both"/>
      <w:outlineLvl w:val="0"/>
    </w:pPr>
    <w:rPr>
      <w:b/>
      <w:smallCaps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36465C"/>
    <w:pPr>
      <w:numPr>
        <w:ilvl w:val="1"/>
        <w:numId w:val="24"/>
      </w:numPr>
      <w:autoSpaceDE w:val="0"/>
      <w:autoSpaceDN w:val="0"/>
      <w:adjustRightInd w:val="0"/>
      <w:spacing w:before="360"/>
      <w:ind w:left="718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465C"/>
    <w:pPr>
      <w:numPr>
        <w:ilvl w:val="2"/>
        <w:numId w:val="24"/>
      </w:numPr>
      <w:autoSpaceDE w:val="0"/>
      <w:autoSpaceDN w:val="0"/>
      <w:adjustRightInd w:val="0"/>
      <w:spacing w:before="24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7050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7B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7050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087B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7050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7050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7050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7050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36465C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6465C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styleId="Corpsdetexte">
    <w:name w:val="Body Text"/>
    <w:basedOn w:val="Normal"/>
    <w:link w:val="CorpsdetexteCar"/>
    <w:rsid w:val="007C0DD7"/>
    <w:pPr>
      <w:spacing w:after="120" w:line="240" w:lineRule="auto"/>
    </w:pPr>
    <w:rPr>
      <w:rFonts w:ascii="Times New Roman" w:eastAsia="Times New Roman" w:hAnsi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0DD7"/>
    <w:rPr>
      <w:rFonts w:ascii="Times New Roman" w:eastAsia="Times New Roman" w:hAnsi="Times New Roman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8D7050"/>
    <w:rPr>
      <w:b/>
      <w:smallCaps/>
      <w:sz w:val="28"/>
      <w:szCs w:val="28"/>
      <w:u w:val="single"/>
      <w:shd w:val="clear" w:color="auto" w:fill="E8F5EB" w:themeFill="accent5" w:themeFillTint="33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8D7050"/>
    <w:rPr>
      <w:rFonts w:asciiTheme="majorHAnsi" w:eastAsiaTheme="majorEastAsia" w:hAnsiTheme="majorHAnsi" w:cstheme="majorBidi"/>
      <w:i/>
      <w:iCs/>
      <w:color w:val="0087B3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D7050"/>
    <w:rPr>
      <w:rFonts w:asciiTheme="majorHAnsi" w:eastAsiaTheme="majorEastAsia" w:hAnsiTheme="majorHAnsi" w:cstheme="majorBidi"/>
      <w:color w:val="0087B3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8D7050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8D7050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8D70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8D70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uces-niv1">
    <w:name w:val="puces-niv1"/>
    <w:basedOn w:val="Normal"/>
    <w:qFormat/>
    <w:rsid w:val="00C93A11"/>
    <w:pPr>
      <w:widowControl w:val="0"/>
      <w:numPr>
        <w:numId w:val="35"/>
      </w:numPr>
      <w:autoSpaceDE w:val="0"/>
      <w:autoSpaceDN w:val="0"/>
      <w:adjustRightInd w:val="0"/>
      <w:spacing w:after="0" w:line="320" w:lineRule="exact"/>
    </w:pPr>
    <w:rPr>
      <w:rFonts w:ascii="Century Gothic" w:eastAsia="Cambria" w:hAnsi="Century Gothic" w:cs="Arial-Black"/>
      <w:color w:val="80808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17B3-8261-4221-92E7-6C1667A8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Jessica UGOLINI-SAMMUT</cp:lastModifiedBy>
  <cp:revision>6</cp:revision>
  <cp:lastPrinted>2019-03-28T09:03:00Z</cp:lastPrinted>
  <dcterms:created xsi:type="dcterms:W3CDTF">2024-11-26T13:32:00Z</dcterms:created>
  <dcterms:modified xsi:type="dcterms:W3CDTF">2025-11-18T09:46:00Z</dcterms:modified>
</cp:coreProperties>
</file>